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D4" w:rsidRPr="004A1BD4" w:rsidRDefault="004A1BD4" w:rsidP="004A1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D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A1BD4">
        <w:rPr>
          <w:rFonts w:ascii="Times New Roman" w:hAnsi="Times New Roman" w:cs="Times New Roman"/>
          <w:sz w:val="28"/>
          <w:szCs w:val="28"/>
        </w:rPr>
        <w:t>Превышение или уменьшение средневзвешенной цены (тарифа), определенной (определенного) на основании необходимой валовой выручки и объема полезного отпуска, предлагаемой к установлению на очередной период регулирования организацией, осуществляющей регулируемые виды деятельности, над средневзвешенной ценой (тарифом), определенной (определенным) на основании необходимой валовой выручки и объема полезного отпуска органом регулирования при установлении цены (тарифа) на предшествующий период регулирования, более чем в двукратном размере.</w:t>
      </w:r>
      <w:proofErr w:type="gramEnd"/>
    </w:p>
    <w:p w:rsidR="004A1BD4" w:rsidRPr="004A1BD4" w:rsidRDefault="004A1BD4" w:rsidP="004A1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D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A1BD4">
        <w:rPr>
          <w:rFonts w:ascii="Times New Roman" w:hAnsi="Times New Roman" w:cs="Times New Roman"/>
          <w:sz w:val="28"/>
          <w:szCs w:val="28"/>
        </w:rPr>
        <w:t>Выявление в течение двух лет подряд 1 и более фактов невыполнения организацией мероприятий инвестиционной программы (за счет средств, учитываемых при установлении регулируемых цен (тарифов)) по итогам рассмотрения министерством тарифного регулирования Воронежской области отчетов о выполнении инвестиционных программ за предыдущий год, составляющих в совокупности не менее чем 50 процентов плановых объемов финансирования соответствующей инвестиционной программы (за счет всех источников финансирования).</w:t>
      </w:r>
      <w:proofErr w:type="gramEnd"/>
    </w:p>
    <w:p w:rsidR="004A1BD4" w:rsidRPr="004A1BD4" w:rsidRDefault="004A1BD4" w:rsidP="004A1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D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A1BD4">
        <w:rPr>
          <w:rFonts w:ascii="Times New Roman" w:hAnsi="Times New Roman" w:cs="Times New Roman"/>
          <w:sz w:val="28"/>
          <w:szCs w:val="28"/>
        </w:rPr>
        <w:t>Расхождение более чем на 20 процентов данных об объемах товаров (работ, услуг), поставляемых (оказываемых) в прошедшем году по регулируемым ценам (тарифам), или о выручке регулируемой организации от реализации товаров (работ, услуг) по регулируемым ценам (тарифам) по итогам прошедшего года в разрезе видов деятельности, представленных в предложении регулируемой организации об установлении цены (тарифа) и в раскрытых регулируемой организацией сведениях на своем</w:t>
      </w:r>
      <w:proofErr w:type="gramEnd"/>
      <w:r w:rsidRPr="004A1B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1BD4">
        <w:rPr>
          <w:rFonts w:ascii="Times New Roman" w:hAnsi="Times New Roman" w:cs="Times New Roman"/>
          <w:sz w:val="28"/>
          <w:szCs w:val="28"/>
        </w:rPr>
        <w:t>официальном сайте в информационно-телекоммуникационной сети "Интернет" или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 за аналогичный период.</w:t>
      </w:r>
      <w:proofErr w:type="gramEnd"/>
    </w:p>
    <w:p w:rsidR="00116384" w:rsidRPr="004A1BD4" w:rsidRDefault="004A1BD4" w:rsidP="004A1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D4">
        <w:rPr>
          <w:rFonts w:ascii="Times New Roman" w:hAnsi="Times New Roman" w:cs="Times New Roman"/>
          <w:sz w:val="28"/>
          <w:szCs w:val="28"/>
        </w:rPr>
        <w:t>4. Факт увеличения более чем на 25 процентов выручки регулируемой организации от реализации товаров (работ, услуг) по регулируемым ценам (тарифам) по итогам прошедшего года в разрезе видов деятельности по сравнению с предшествующим годом при отсутствии факта увеличения более чем на 5 процентов объема оказанных услуг по регулируемым видам деятельности.</w:t>
      </w:r>
    </w:p>
    <w:sectPr w:rsidR="00116384" w:rsidRPr="004A1BD4" w:rsidSect="0011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1BD4"/>
    <w:rsid w:val="00116384"/>
    <w:rsid w:val="004A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2024-08-20T13:19:00Z</dcterms:created>
  <dcterms:modified xsi:type="dcterms:W3CDTF">2024-08-20T13:20:00Z</dcterms:modified>
</cp:coreProperties>
</file>